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23" w:tblpY="279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810"/>
        <w:gridCol w:w="1425"/>
        <w:gridCol w:w="3650"/>
        <w:gridCol w:w="775"/>
        <w:gridCol w:w="1170"/>
        <w:gridCol w:w="750"/>
        <w:gridCol w:w="735"/>
        <w:gridCol w:w="720"/>
        <w:gridCol w:w="2025"/>
        <w:gridCol w:w="975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序号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项目类型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项目名称</w:t>
            </w:r>
          </w:p>
        </w:tc>
        <w:tc>
          <w:tcPr>
            <w:tcW w:w="3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主要建设内容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工程总投资</w:t>
            </w:r>
          </w:p>
        </w:tc>
        <w:tc>
          <w:tcPr>
            <w:tcW w:w="3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资金来源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2021年工程进度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2021年支出计划安排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kern w:val="0"/>
                <w:sz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kern w:val="0"/>
                <w:sz w:val="20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kern w:val="0"/>
                <w:sz w:val="20"/>
              </w:rPr>
            </w:pPr>
          </w:p>
        </w:tc>
        <w:tc>
          <w:tcPr>
            <w:tcW w:w="36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kern w:val="0"/>
                <w:sz w:val="20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kern w:val="0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pacing w:val="-12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2"/>
                <w:kern w:val="0"/>
                <w:sz w:val="20"/>
              </w:rPr>
              <w:t>上级政策扶持及本级专项资金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专项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债券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国投公司融资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社会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</w:rPr>
              <w:t>资本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kern w:val="0"/>
                <w:sz w:val="20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kern w:val="0"/>
                <w:sz w:val="20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outlineLvl w:val="9"/>
              <w:rPr>
                <w:rFonts w:hint="eastAsia" w:ascii="宋体" w:hAnsi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已被烟台市水利局列入2021年重点项目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莱州市城乡供水一体化项目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新建水厂1座，改造水厂3座，铺设管网230公里，完成200个村内管网改造工程等。2021年度规划完成投资34000万元。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54200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20000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全面完成建设任务，全市农村规模化供水达到85%以上。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20000 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2</w:t>
            </w: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莱州市王河综合治理工程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对王河50公里干流实施综合治理，2021年主要工作：做好项目前期设计及招投标工作，开展部分河道清淤及基础建设。2021年度规划完成投资8000万元。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19200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7680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11520 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完成项目前期设计及招投标工作，规划开工建设橡胶坝1座，计划完成河道治理8公里。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5000 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以河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养河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3</w:t>
            </w:r>
          </w:p>
        </w:tc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莱州市留驾水库向银海化工园区调水工程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建设日处理能力2万吨水厂1座，铺设TPEP防腐钢管28公里。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6800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6800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全面完成项目前期工作，根据银海化工园区项目入驻情况开展水厂配套建设工程。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根据项目推进情况进行资金拨付。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4</w:t>
            </w: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莱州市矿坑尾水综合利用工程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分步对黄金企业矿坑尾水进行处理，实现达标排放。2021年主要实施中金汇金公司水处理设施建设，督导山东黄金焦家金矿编制矿坑尾水利用规划，规划完成投资5000万元。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25000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25000 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完成中金汇金公司水处理设施建设试点，督导山东黄金焦家金矿编制矿坑尾水利用规划。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5000 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5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项目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莱州市朱桥河拦蓄工程</w:t>
            </w:r>
          </w:p>
        </w:tc>
        <w:tc>
          <w:tcPr>
            <w:tcW w:w="3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在朱桥河新建拦河坝，用于拦蓄中金汇金公司金矿尾水，涵养地下水源，改善水环境。2021年度规划完成投资300万元。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300 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300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全面完成建设任务。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100 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6</w:t>
            </w: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莱州市大武官水库除险加固工程</w:t>
            </w:r>
          </w:p>
        </w:tc>
        <w:tc>
          <w:tcPr>
            <w:tcW w:w="3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对程郭镇大武官水库实施大坝、溢洪道、放水洞等除险加固。2021年度规划完成投资500万元。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500 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500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完成项目前期设计及招投标工作，全部完成工程建设。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 xml:space="preserve">100 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</w:rPr>
              <w:t>合       计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</w:rPr>
              <w:t xml:space="preserve">106000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</w:rPr>
              <w:t xml:space="preserve">8180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</w:rPr>
              <w:t xml:space="preserve">26800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</w:rPr>
              <w:t xml:space="preserve">11820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</w:rPr>
              <w:t xml:space="preserve">25000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</w:rPr>
              <w:t xml:space="preserve">30200 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NTg0ZTRjNGRhNjIwOGQ0MmJlZGMyZDc3OThmNGQifQ=="/>
  </w:docVars>
  <w:rsids>
    <w:rsidRoot w:val="635A67B7"/>
    <w:rsid w:val="635A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Lines="0" w:after="290" w:afterLines="0" w:line="374" w:lineRule="auto"/>
      <w:outlineLvl w:val="4"/>
    </w:pPr>
    <w:rPr>
      <w:rFonts w:ascii="Calibri" w:hAnsi="Calibri" w:cs="Calibr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2022-11-11T03:46:00Z</dcterms:created>
  <dc:creator>ELIVEN</dc:creator>
  <cp:lastModifiedBy>ELIVEN</cp:lastModifiedBy>
  <dcterms:modified xsi:type="dcterms:W3CDTF">2022-11-11T03:46:57Z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5B1FB17514F64A27A9BAFA5CEA11BEBB</vt:lpwstr>
  </property>
</Properties>
</file>